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4E" w:rsidRPr="00AB5633" w:rsidRDefault="00C63F4E" w:rsidP="00C63F4E">
      <w:pPr>
        <w:spacing w:after="0" w:line="240" w:lineRule="auto"/>
        <w:jc w:val="center"/>
        <w:rPr>
          <w:rFonts w:cstheme="minorHAnsi"/>
          <w:b/>
        </w:rPr>
      </w:pPr>
      <w:r w:rsidRPr="00AB5633">
        <w:rPr>
          <w:rFonts w:cstheme="minorHAnsi"/>
          <w:b/>
        </w:rPr>
        <w:t>CONTRA COSTA COLLEGE</w:t>
      </w:r>
    </w:p>
    <w:p w:rsidR="00A24708" w:rsidRDefault="005E1AF1" w:rsidP="00A24708">
      <w:pPr>
        <w:spacing w:after="0" w:line="240" w:lineRule="auto"/>
        <w:jc w:val="center"/>
        <w:rPr>
          <w:rFonts w:cstheme="minorHAnsi"/>
          <w:b/>
        </w:rPr>
      </w:pPr>
      <w:r>
        <w:rPr>
          <w:rFonts w:cstheme="minorHAnsi"/>
          <w:b/>
        </w:rPr>
        <w:t>President’s Cabinet</w:t>
      </w:r>
      <w:r w:rsidR="00A81C53">
        <w:rPr>
          <w:rFonts w:cstheme="minorHAnsi"/>
          <w:b/>
        </w:rPr>
        <w:t xml:space="preserve"> Meeting </w:t>
      </w:r>
    </w:p>
    <w:p w:rsidR="00660EC3" w:rsidRDefault="0074145A" w:rsidP="00A24708">
      <w:pPr>
        <w:spacing w:after="0" w:line="240" w:lineRule="auto"/>
        <w:jc w:val="center"/>
        <w:rPr>
          <w:rFonts w:cstheme="minorHAnsi"/>
          <w:b/>
        </w:rPr>
      </w:pPr>
      <w:r>
        <w:rPr>
          <w:rFonts w:cstheme="minorHAnsi"/>
          <w:b/>
        </w:rPr>
        <w:t>NOTES</w:t>
      </w:r>
    </w:p>
    <w:p w:rsidR="00C762E7" w:rsidRDefault="006A7B4C" w:rsidP="00A24708">
      <w:pPr>
        <w:spacing w:after="0" w:line="240" w:lineRule="auto"/>
        <w:jc w:val="center"/>
        <w:rPr>
          <w:rFonts w:cstheme="minorHAnsi"/>
          <w:b/>
        </w:rPr>
      </w:pPr>
      <w:r>
        <w:rPr>
          <w:rFonts w:cstheme="minorHAnsi"/>
          <w:b/>
        </w:rPr>
        <w:br/>
      </w:r>
    </w:p>
    <w:p w:rsidR="00F3227F" w:rsidRPr="00F3227F" w:rsidRDefault="00F3227F" w:rsidP="00F65923">
      <w:pPr>
        <w:tabs>
          <w:tab w:val="left" w:pos="720"/>
          <w:tab w:val="left" w:pos="1440"/>
          <w:tab w:val="left" w:pos="2160"/>
          <w:tab w:val="left" w:pos="2880"/>
          <w:tab w:val="center" w:pos="4680"/>
        </w:tabs>
        <w:spacing w:after="0" w:line="240" w:lineRule="auto"/>
        <w:ind w:left="1080" w:hanging="1080"/>
        <w:rPr>
          <w:rFonts w:cstheme="minorHAnsi"/>
        </w:rPr>
      </w:pPr>
      <w:r w:rsidRPr="00F3227F">
        <w:rPr>
          <w:rFonts w:cstheme="minorHAnsi"/>
          <w:b/>
        </w:rPr>
        <w:t>Date:</w:t>
      </w:r>
      <w:r w:rsidRPr="00F3227F">
        <w:rPr>
          <w:rFonts w:cstheme="minorHAnsi"/>
          <w:b/>
        </w:rPr>
        <w:tab/>
      </w:r>
      <w:r w:rsidR="00F64114">
        <w:rPr>
          <w:rFonts w:cstheme="minorHAnsi"/>
          <w:b/>
        </w:rPr>
        <w:tab/>
      </w:r>
      <w:r w:rsidR="00F64114">
        <w:rPr>
          <w:rFonts w:cstheme="minorHAnsi"/>
        </w:rPr>
        <w:t xml:space="preserve">Friday, </w:t>
      </w:r>
      <w:r w:rsidR="00CC7563">
        <w:rPr>
          <w:rFonts w:cstheme="minorHAnsi"/>
        </w:rPr>
        <w:t>March</w:t>
      </w:r>
      <w:r w:rsidR="00D423A9">
        <w:rPr>
          <w:rFonts w:cstheme="minorHAnsi"/>
        </w:rPr>
        <w:t xml:space="preserve"> </w:t>
      </w:r>
      <w:r w:rsidR="00660EC3">
        <w:rPr>
          <w:rFonts w:cstheme="minorHAnsi"/>
        </w:rPr>
        <w:t>27</w:t>
      </w:r>
      <w:r w:rsidR="00F64114">
        <w:rPr>
          <w:rFonts w:cstheme="minorHAnsi"/>
        </w:rPr>
        <w:t>, 20</w:t>
      </w:r>
      <w:r w:rsidR="00B33D8B">
        <w:rPr>
          <w:rFonts w:cstheme="minorHAnsi"/>
        </w:rPr>
        <w:t>15</w:t>
      </w:r>
      <w:r w:rsidR="00F65923">
        <w:rPr>
          <w:rFonts w:cstheme="minorHAnsi"/>
        </w:rPr>
        <w:tab/>
      </w:r>
    </w:p>
    <w:p w:rsidR="00F3227F" w:rsidRPr="00F3227F" w:rsidRDefault="00F3227F" w:rsidP="00F3227F">
      <w:pPr>
        <w:spacing w:after="0" w:line="240" w:lineRule="auto"/>
        <w:ind w:left="1080" w:hanging="1080"/>
        <w:rPr>
          <w:rFonts w:cstheme="minorHAnsi"/>
        </w:rPr>
      </w:pPr>
      <w:r w:rsidRPr="00F3227F">
        <w:rPr>
          <w:rFonts w:cstheme="minorHAnsi"/>
          <w:b/>
        </w:rPr>
        <w:t xml:space="preserve">Time: </w:t>
      </w:r>
      <w:r w:rsidRPr="00F3227F">
        <w:rPr>
          <w:rFonts w:cstheme="minorHAnsi"/>
          <w:b/>
        </w:rPr>
        <w:tab/>
      </w:r>
      <w:r w:rsidR="00CC7563">
        <w:rPr>
          <w:rFonts w:cstheme="minorHAnsi"/>
        </w:rPr>
        <w:t>9:30</w:t>
      </w:r>
      <w:r w:rsidRPr="00F3227F">
        <w:rPr>
          <w:rFonts w:cstheme="minorHAnsi"/>
        </w:rPr>
        <w:t xml:space="preserve"> am to 11 am</w:t>
      </w:r>
    </w:p>
    <w:p w:rsidR="00F3227F" w:rsidRDefault="00F3227F" w:rsidP="00F3227F">
      <w:pPr>
        <w:spacing w:after="0" w:line="240" w:lineRule="auto"/>
        <w:ind w:left="1080" w:hanging="1080"/>
        <w:rPr>
          <w:rFonts w:cstheme="minorHAnsi"/>
        </w:rPr>
      </w:pPr>
      <w:r w:rsidRPr="00F3227F">
        <w:rPr>
          <w:rFonts w:cstheme="minorHAnsi"/>
          <w:b/>
        </w:rPr>
        <w:t>Location:</w:t>
      </w:r>
      <w:r w:rsidRPr="00F3227F">
        <w:rPr>
          <w:rFonts w:cstheme="minorHAnsi"/>
          <w:b/>
        </w:rPr>
        <w:tab/>
      </w:r>
      <w:r w:rsidR="005E1AF1">
        <w:rPr>
          <w:rFonts w:cstheme="minorHAnsi"/>
        </w:rPr>
        <w:t>President’s Office</w:t>
      </w:r>
    </w:p>
    <w:p w:rsidR="00C762E7" w:rsidRPr="00F3227F" w:rsidRDefault="00C762E7" w:rsidP="00F3227F">
      <w:pPr>
        <w:spacing w:after="0" w:line="240" w:lineRule="auto"/>
        <w:ind w:left="1080" w:hanging="1080"/>
        <w:rPr>
          <w:rFonts w:cstheme="minorHAnsi"/>
        </w:rPr>
      </w:pPr>
    </w:p>
    <w:p w:rsidR="00C63F4E" w:rsidRDefault="00C63F4E" w:rsidP="00C63F4E">
      <w:pPr>
        <w:spacing w:after="0" w:line="240" w:lineRule="auto"/>
        <w:jc w:val="center"/>
        <w:rPr>
          <w:rFonts w:cstheme="minorHAns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17"/>
        <w:gridCol w:w="2816"/>
        <w:gridCol w:w="3117"/>
      </w:tblGrid>
      <w:tr w:rsidR="00F3227F" w:rsidRPr="00F3227F" w:rsidTr="00CC7563">
        <w:tc>
          <w:tcPr>
            <w:tcW w:w="3417" w:type="dxa"/>
            <w:shd w:val="clear" w:color="auto" w:fill="D9D9D9" w:themeFill="background1" w:themeFillShade="D9"/>
          </w:tcPr>
          <w:p w:rsidR="00F3227F" w:rsidRPr="00F3227F" w:rsidRDefault="00F3227F" w:rsidP="00FD2789">
            <w:pPr>
              <w:tabs>
                <w:tab w:val="left" w:leader="dot" w:pos="3600"/>
                <w:tab w:val="left" w:leader="dot" w:pos="4320"/>
                <w:tab w:val="left" w:leader="dot" w:pos="5760"/>
              </w:tabs>
              <w:jc w:val="center"/>
              <w:rPr>
                <w:rFonts w:asciiTheme="majorHAnsi" w:hAnsiTheme="majorHAnsi" w:cstheme="minorHAnsi"/>
                <w:b/>
              </w:rPr>
            </w:pPr>
            <w:r w:rsidRPr="00F3227F">
              <w:rPr>
                <w:rFonts w:asciiTheme="majorHAnsi" w:hAnsiTheme="majorHAnsi" w:cstheme="minorHAnsi"/>
                <w:b/>
              </w:rPr>
              <w:t>Item</w:t>
            </w:r>
          </w:p>
        </w:tc>
        <w:tc>
          <w:tcPr>
            <w:tcW w:w="2816" w:type="dxa"/>
            <w:shd w:val="clear" w:color="auto" w:fill="D9D9D9" w:themeFill="background1" w:themeFillShade="D9"/>
          </w:tcPr>
          <w:p w:rsidR="00F3227F" w:rsidRPr="00F3227F" w:rsidRDefault="002B6FA3" w:rsidP="00FF7034">
            <w:pPr>
              <w:tabs>
                <w:tab w:val="left" w:leader="dot" w:pos="3600"/>
                <w:tab w:val="left" w:leader="dot" w:pos="4320"/>
                <w:tab w:val="left" w:leader="dot" w:pos="5760"/>
              </w:tabs>
              <w:jc w:val="center"/>
              <w:rPr>
                <w:rFonts w:asciiTheme="majorHAnsi" w:hAnsiTheme="majorHAnsi" w:cstheme="minorHAnsi"/>
                <w:b/>
              </w:rPr>
            </w:pPr>
            <w:r>
              <w:rPr>
                <w:rFonts w:asciiTheme="majorHAnsi" w:hAnsiTheme="majorHAnsi" w:cstheme="minorHAnsi"/>
                <w:b/>
              </w:rPr>
              <w:t>Outcome</w:t>
            </w:r>
          </w:p>
        </w:tc>
        <w:tc>
          <w:tcPr>
            <w:tcW w:w="3117" w:type="dxa"/>
            <w:shd w:val="clear" w:color="auto" w:fill="D9D9D9" w:themeFill="background1" w:themeFillShade="D9"/>
          </w:tcPr>
          <w:p w:rsidR="00F3227F" w:rsidRPr="00F3227F" w:rsidRDefault="002B6FA3" w:rsidP="002B6FA3">
            <w:pPr>
              <w:tabs>
                <w:tab w:val="left" w:leader="dot" w:pos="3600"/>
                <w:tab w:val="left" w:leader="dot" w:pos="4320"/>
                <w:tab w:val="left" w:leader="dot" w:pos="5760"/>
              </w:tabs>
              <w:jc w:val="center"/>
              <w:rPr>
                <w:rFonts w:asciiTheme="majorHAnsi" w:hAnsiTheme="majorHAnsi" w:cstheme="minorHAnsi"/>
                <w:b/>
              </w:rPr>
            </w:pPr>
            <w:r>
              <w:rPr>
                <w:rFonts w:asciiTheme="majorHAnsi" w:hAnsiTheme="majorHAnsi" w:cstheme="minorHAnsi"/>
                <w:b/>
              </w:rPr>
              <w:t xml:space="preserve">Follow-up </w:t>
            </w:r>
          </w:p>
        </w:tc>
      </w:tr>
      <w:tr w:rsidR="00F3227F" w:rsidTr="00CC7563">
        <w:tc>
          <w:tcPr>
            <w:tcW w:w="3417" w:type="dxa"/>
            <w:tcMar>
              <w:top w:w="72" w:type="dxa"/>
              <w:left w:w="72" w:type="dxa"/>
              <w:bottom w:w="72" w:type="dxa"/>
              <w:right w:w="72" w:type="dxa"/>
            </w:tcMar>
          </w:tcPr>
          <w:p w:rsidR="00F3227F" w:rsidRPr="00F3227F" w:rsidRDefault="001C31CC"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Review Meeting Notes from </w:t>
            </w:r>
            <w:r w:rsidR="00660EC3">
              <w:rPr>
                <w:rFonts w:asciiTheme="majorHAnsi" w:hAnsiTheme="majorHAnsi" w:cstheme="minorHAnsi"/>
              </w:rPr>
              <w:t xml:space="preserve">February </w:t>
            </w:r>
            <w:r w:rsidR="00CC7563">
              <w:rPr>
                <w:rFonts w:asciiTheme="majorHAnsi" w:hAnsiTheme="majorHAnsi" w:cstheme="minorHAnsi"/>
              </w:rPr>
              <w:t>Feb 27</w:t>
            </w:r>
            <w:r w:rsidR="00660EC3">
              <w:rPr>
                <w:rFonts w:asciiTheme="majorHAnsi" w:hAnsiTheme="majorHAnsi" w:cstheme="minorHAnsi"/>
              </w:rPr>
              <w:t>, 2015</w:t>
            </w:r>
            <w:r>
              <w:rPr>
                <w:rFonts w:asciiTheme="majorHAnsi" w:hAnsiTheme="majorHAnsi" w:cstheme="minorHAnsi"/>
              </w:rPr>
              <w:t xml:space="preserve"> President’s Cabinet Meeting</w:t>
            </w:r>
          </w:p>
        </w:tc>
        <w:tc>
          <w:tcPr>
            <w:tcW w:w="2816" w:type="dxa"/>
            <w:tcMar>
              <w:top w:w="72" w:type="dxa"/>
              <w:left w:w="72" w:type="dxa"/>
              <w:bottom w:w="72" w:type="dxa"/>
              <w:right w:w="72" w:type="dxa"/>
            </w:tcMar>
          </w:tcPr>
          <w:p w:rsidR="00290C03" w:rsidRDefault="002B6FA3" w:rsidP="002B6FA3">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Minutes approved</w:t>
            </w:r>
          </w:p>
          <w:p w:rsidR="00F3227F" w:rsidRPr="00290C03" w:rsidRDefault="00F3227F" w:rsidP="00290C03">
            <w:pPr>
              <w:jc w:val="right"/>
              <w:rPr>
                <w:rFonts w:asciiTheme="majorHAnsi" w:hAnsiTheme="majorHAnsi" w:cstheme="minorHAnsi"/>
              </w:rPr>
            </w:pPr>
            <w:bookmarkStart w:id="0" w:name="_GoBack"/>
            <w:bookmarkEnd w:id="0"/>
          </w:p>
        </w:tc>
        <w:tc>
          <w:tcPr>
            <w:tcW w:w="3117" w:type="dxa"/>
            <w:tcMar>
              <w:top w:w="72" w:type="dxa"/>
              <w:left w:w="72" w:type="dxa"/>
              <w:bottom w:w="72" w:type="dxa"/>
              <w:right w:w="72" w:type="dxa"/>
            </w:tcMar>
          </w:tcPr>
          <w:p w:rsidR="00F3227F" w:rsidRDefault="009E7099" w:rsidP="00EA7A32">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br/>
            </w:r>
          </w:p>
          <w:p w:rsidR="009E7099" w:rsidRDefault="009E7099" w:rsidP="00EA7A32">
            <w:pPr>
              <w:tabs>
                <w:tab w:val="left" w:leader="dot" w:pos="3600"/>
                <w:tab w:val="left" w:leader="dot" w:pos="4320"/>
                <w:tab w:val="left" w:leader="dot" w:pos="5760"/>
              </w:tabs>
              <w:rPr>
                <w:rFonts w:asciiTheme="majorHAnsi" w:hAnsiTheme="majorHAnsi" w:cstheme="minorHAnsi"/>
              </w:rPr>
            </w:pPr>
          </w:p>
          <w:p w:rsidR="009E7099" w:rsidRDefault="009E7099" w:rsidP="00EA7A32">
            <w:pPr>
              <w:tabs>
                <w:tab w:val="left" w:leader="dot" w:pos="3600"/>
                <w:tab w:val="left" w:leader="dot" w:pos="4320"/>
                <w:tab w:val="left" w:leader="dot" w:pos="5760"/>
              </w:tabs>
              <w:rPr>
                <w:rFonts w:asciiTheme="majorHAnsi" w:hAnsiTheme="majorHAnsi" w:cstheme="minorHAnsi"/>
              </w:rPr>
            </w:pPr>
          </w:p>
        </w:tc>
      </w:tr>
      <w:tr w:rsidR="00F3227F" w:rsidTr="00CC7563">
        <w:tc>
          <w:tcPr>
            <w:tcW w:w="3417" w:type="dxa"/>
            <w:tcMar>
              <w:top w:w="72" w:type="dxa"/>
              <w:left w:w="72" w:type="dxa"/>
              <w:bottom w:w="72" w:type="dxa"/>
              <w:right w:w="72" w:type="dxa"/>
            </w:tcMar>
          </w:tcPr>
          <w:p w:rsidR="00F3227F" w:rsidRPr="00F3227F" w:rsidRDefault="001C31CC"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Draft the </w:t>
            </w:r>
            <w:r w:rsidR="00CC7563">
              <w:rPr>
                <w:rFonts w:asciiTheme="majorHAnsi" w:hAnsiTheme="majorHAnsi" w:cstheme="minorHAnsi"/>
              </w:rPr>
              <w:t>April 9</w:t>
            </w:r>
            <w:r>
              <w:rPr>
                <w:rFonts w:asciiTheme="majorHAnsi" w:hAnsiTheme="majorHAnsi" w:cstheme="minorHAnsi"/>
              </w:rPr>
              <w:t>, 2015 College Council Meeting Agenda</w:t>
            </w:r>
          </w:p>
        </w:tc>
        <w:tc>
          <w:tcPr>
            <w:tcW w:w="2816" w:type="dxa"/>
            <w:tcMar>
              <w:top w:w="72" w:type="dxa"/>
              <w:left w:w="72" w:type="dxa"/>
              <w:bottom w:w="72" w:type="dxa"/>
              <w:right w:w="72" w:type="dxa"/>
            </w:tcMar>
          </w:tcPr>
          <w:p w:rsidR="00F3227F" w:rsidRDefault="002B6FA3"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Agenda was not reviewed. Will review prior to meeting.</w:t>
            </w:r>
          </w:p>
        </w:tc>
        <w:tc>
          <w:tcPr>
            <w:tcW w:w="3117" w:type="dxa"/>
            <w:tcMar>
              <w:top w:w="72" w:type="dxa"/>
              <w:left w:w="72" w:type="dxa"/>
              <w:bottom w:w="72" w:type="dxa"/>
              <w:right w:w="72" w:type="dxa"/>
            </w:tcMar>
          </w:tcPr>
          <w:p w:rsidR="00F3227F" w:rsidRDefault="00F3227F" w:rsidP="002B6FA3">
            <w:pPr>
              <w:tabs>
                <w:tab w:val="left" w:leader="dot" w:pos="3600"/>
                <w:tab w:val="left" w:leader="dot" w:pos="4320"/>
                <w:tab w:val="left" w:leader="dot" w:pos="5760"/>
              </w:tabs>
              <w:rPr>
                <w:rFonts w:asciiTheme="majorHAnsi" w:hAnsiTheme="majorHAnsi" w:cstheme="minorHAnsi"/>
              </w:rPr>
            </w:pPr>
          </w:p>
        </w:tc>
      </w:tr>
      <w:tr w:rsidR="00CC7563" w:rsidTr="00CC7563">
        <w:tc>
          <w:tcPr>
            <w:tcW w:w="3417" w:type="dxa"/>
            <w:tcMar>
              <w:top w:w="72" w:type="dxa"/>
              <w:left w:w="72" w:type="dxa"/>
              <w:bottom w:w="72" w:type="dxa"/>
              <w:right w:w="72" w:type="dxa"/>
            </w:tcMar>
          </w:tcPr>
          <w:p w:rsidR="00CC7563" w:rsidRDefault="00CC7563"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Longwood Scholarship Selection</w:t>
            </w:r>
          </w:p>
        </w:tc>
        <w:tc>
          <w:tcPr>
            <w:tcW w:w="2816" w:type="dxa"/>
            <w:tcMar>
              <w:top w:w="72" w:type="dxa"/>
              <w:left w:w="72" w:type="dxa"/>
              <w:bottom w:w="72" w:type="dxa"/>
              <w:right w:w="72" w:type="dxa"/>
            </w:tcMar>
          </w:tcPr>
          <w:p w:rsidR="00CC7563" w:rsidRDefault="002B6FA3"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Cabinet reviewed all applications and agreed that all candidates met the criterion. Cabinet came to a consensus and awarded candidate Jeanette Hirtle the Longwood Scholarship of $500</w:t>
            </w:r>
          </w:p>
        </w:tc>
        <w:tc>
          <w:tcPr>
            <w:tcW w:w="3117" w:type="dxa"/>
            <w:tcMar>
              <w:top w:w="72" w:type="dxa"/>
              <w:left w:w="72" w:type="dxa"/>
              <w:bottom w:w="72" w:type="dxa"/>
              <w:right w:w="72" w:type="dxa"/>
            </w:tcMar>
          </w:tcPr>
          <w:p w:rsidR="00C000DC" w:rsidRDefault="00E5377A" w:rsidP="00EA7A32">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w:t>
            </w:r>
          </w:p>
        </w:tc>
      </w:tr>
      <w:tr w:rsidR="00EA7A32" w:rsidTr="00CC7563">
        <w:tc>
          <w:tcPr>
            <w:tcW w:w="3417" w:type="dxa"/>
            <w:tcMar>
              <w:top w:w="72" w:type="dxa"/>
              <w:left w:w="72" w:type="dxa"/>
              <w:bottom w:w="72" w:type="dxa"/>
              <w:right w:w="72" w:type="dxa"/>
            </w:tcMar>
          </w:tcPr>
          <w:p w:rsidR="00CC7563" w:rsidRPr="00CC7563" w:rsidRDefault="00CC7563" w:rsidP="00CC7563">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 xml:space="preserve">Spring 2014 </w:t>
            </w:r>
            <w:r w:rsidR="00165D6B">
              <w:rPr>
                <w:rFonts w:asciiTheme="majorHAnsi" w:hAnsiTheme="majorHAnsi" w:cstheme="minorHAnsi"/>
              </w:rPr>
              <w:t>Program Review</w:t>
            </w:r>
          </w:p>
        </w:tc>
        <w:tc>
          <w:tcPr>
            <w:tcW w:w="2816" w:type="dxa"/>
            <w:tcMar>
              <w:top w:w="72" w:type="dxa"/>
              <w:left w:w="72" w:type="dxa"/>
              <w:bottom w:w="72" w:type="dxa"/>
              <w:right w:w="72" w:type="dxa"/>
            </w:tcMar>
          </w:tcPr>
          <w:p w:rsidR="00EA7A32" w:rsidRDefault="002B6FA3" w:rsidP="002B6FA3">
            <w:pPr>
              <w:tabs>
                <w:tab w:val="left" w:leader="dot" w:pos="3600"/>
                <w:tab w:val="left" w:leader="dot" w:pos="4320"/>
                <w:tab w:val="left" w:leader="dot" w:pos="5760"/>
              </w:tabs>
              <w:rPr>
                <w:rFonts w:asciiTheme="majorHAnsi" w:hAnsiTheme="majorHAnsi" w:cstheme="minorHAnsi"/>
              </w:rPr>
            </w:pPr>
            <w:r w:rsidRPr="002B6FA3">
              <w:rPr>
                <w:rFonts w:asciiTheme="majorHAnsi" w:hAnsiTheme="majorHAnsi" w:cstheme="minorHAnsi"/>
              </w:rPr>
              <w:t xml:space="preserve">Delayed due to reviews not being completed. </w:t>
            </w:r>
          </w:p>
        </w:tc>
        <w:tc>
          <w:tcPr>
            <w:tcW w:w="3117" w:type="dxa"/>
            <w:tcMar>
              <w:top w:w="72" w:type="dxa"/>
              <w:left w:w="72" w:type="dxa"/>
              <w:bottom w:w="72" w:type="dxa"/>
              <w:right w:w="72" w:type="dxa"/>
            </w:tcMar>
          </w:tcPr>
          <w:p w:rsidR="00EA7A32" w:rsidRDefault="00FF7034" w:rsidP="00FF7034">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Cabinet agreed to </w:t>
            </w:r>
            <w:r w:rsidR="002B6FA3" w:rsidRPr="002B6FA3">
              <w:rPr>
                <w:rFonts w:asciiTheme="majorHAnsi" w:hAnsiTheme="majorHAnsi" w:cstheme="minorHAnsi"/>
              </w:rPr>
              <w:t>complete reviews at April 10, 2015, President’s Cabinet meeting.</w:t>
            </w:r>
          </w:p>
        </w:tc>
      </w:tr>
      <w:tr w:rsidR="00CC7563" w:rsidTr="00CC7563">
        <w:tc>
          <w:tcPr>
            <w:tcW w:w="3417" w:type="dxa"/>
            <w:tcMar>
              <w:top w:w="72" w:type="dxa"/>
              <w:left w:w="72" w:type="dxa"/>
              <w:bottom w:w="72" w:type="dxa"/>
              <w:right w:w="72" w:type="dxa"/>
            </w:tcMar>
          </w:tcPr>
          <w:p w:rsidR="00CC7563" w:rsidRDefault="00CC7563"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Fall 2014 Program Review</w:t>
            </w:r>
          </w:p>
        </w:tc>
        <w:tc>
          <w:tcPr>
            <w:tcW w:w="2816" w:type="dxa"/>
            <w:tcMar>
              <w:top w:w="72" w:type="dxa"/>
              <w:left w:w="72" w:type="dxa"/>
              <w:bottom w:w="72" w:type="dxa"/>
              <w:right w:w="72" w:type="dxa"/>
            </w:tcMar>
          </w:tcPr>
          <w:p w:rsidR="00CC7563" w:rsidRDefault="002B6FA3" w:rsidP="00CD2545">
            <w:pPr>
              <w:tabs>
                <w:tab w:val="left" w:leader="dot" w:pos="3600"/>
                <w:tab w:val="left" w:leader="dot" w:pos="4320"/>
                <w:tab w:val="left" w:leader="dot" w:pos="5760"/>
              </w:tabs>
              <w:rPr>
                <w:rFonts w:asciiTheme="majorHAnsi" w:hAnsiTheme="majorHAnsi" w:cstheme="minorHAnsi"/>
              </w:rPr>
            </w:pPr>
            <w:r w:rsidRPr="002B6FA3">
              <w:rPr>
                <w:rFonts w:asciiTheme="majorHAnsi" w:hAnsiTheme="majorHAnsi" w:cstheme="minorHAnsi"/>
              </w:rPr>
              <w:t xml:space="preserve">Mojdeh indicated review dates need to be identified so validations can be completed. Cabinet agreed to review programs at their April 10, 2015, President’s Cabinet meeting. Tammeil suggested that Spring 2014 reports need to completed first as they were never completed.  Cabinet agreed on this new timeline. Mojdeh suggested that each Cabinet member complete the official review form that includes commendations and recommendations.  </w:t>
            </w:r>
            <w:r w:rsidR="00CD2545" w:rsidRPr="00CD2545">
              <w:rPr>
                <w:rFonts w:asciiTheme="majorHAnsi" w:hAnsiTheme="majorHAnsi" w:cstheme="minorHAnsi"/>
              </w:rPr>
              <w:t>Tammeil suggested that the final process should include a formal letter</w:t>
            </w:r>
            <w:r w:rsidR="00CD2545">
              <w:rPr>
                <w:rFonts w:asciiTheme="majorHAnsi" w:hAnsiTheme="majorHAnsi" w:cstheme="minorHAnsi"/>
              </w:rPr>
              <w:t xml:space="preserve"> and </w:t>
            </w:r>
            <w:r w:rsidRPr="002B6FA3">
              <w:rPr>
                <w:rFonts w:asciiTheme="majorHAnsi" w:hAnsiTheme="majorHAnsi" w:cstheme="minorHAnsi"/>
              </w:rPr>
              <w:t>also suggested that the process be</w:t>
            </w:r>
            <w:r w:rsidR="00CD2545">
              <w:rPr>
                <w:rFonts w:asciiTheme="majorHAnsi" w:hAnsiTheme="majorHAnsi" w:cstheme="minorHAnsi"/>
              </w:rPr>
              <w:t xml:space="preserve"> streamlined. </w:t>
            </w:r>
            <w:r w:rsidR="00CD2545" w:rsidRPr="00CD2545">
              <w:rPr>
                <w:rFonts w:asciiTheme="majorHAnsi" w:hAnsiTheme="majorHAnsi" w:cstheme="minorHAnsi"/>
              </w:rPr>
              <w:t>Mojdeh agreed and suggested using a formal letter as the final template in order to reduce the workload and to streamline the entire process</w:t>
            </w:r>
            <w:r w:rsidR="00CD2545">
              <w:rPr>
                <w:rFonts w:asciiTheme="majorHAnsi" w:hAnsiTheme="majorHAnsi" w:cstheme="minorHAnsi"/>
              </w:rPr>
              <w:t>.</w:t>
            </w:r>
          </w:p>
        </w:tc>
        <w:tc>
          <w:tcPr>
            <w:tcW w:w="3117" w:type="dxa"/>
            <w:tcMar>
              <w:top w:w="72" w:type="dxa"/>
              <w:left w:w="72" w:type="dxa"/>
              <w:bottom w:w="72" w:type="dxa"/>
              <w:right w:w="72" w:type="dxa"/>
            </w:tcMar>
          </w:tcPr>
          <w:p w:rsidR="00CC7563" w:rsidRDefault="009B73EA" w:rsidP="00F3227F">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Cabinet</w:t>
            </w:r>
            <w:r w:rsidR="00294D81">
              <w:rPr>
                <w:rFonts w:asciiTheme="majorHAnsi" w:hAnsiTheme="majorHAnsi" w:cstheme="minorHAnsi"/>
              </w:rPr>
              <w:t xml:space="preserve"> agree</w:t>
            </w:r>
            <w:r w:rsidR="009A0496">
              <w:rPr>
                <w:rFonts w:asciiTheme="majorHAnsi" w:hAnsiTheme="majorHAnsi" w:cstheme="minorHAnsi"/>
              </w:rPr>
              <w:t>d</w:t>
            </w:r>
            <w:r w:rsidR="00294D81">
              <w:rPr>
                <w:rFonts w:asciiTheme="majorHAnsi" w:hAnsiTheme="majorHAnsi" w:cstheme="minorHAnsi"/>
              </w:rPr>
              <w:t xml:space="preserve"> on new st</w:t>
            </w:r>
            <w:r w:rsidR="00AB596A">
              <w:rPr>
                <w:rFonts w:asciiTheme="majorHAnsi" w:hAnsiTheme="majorHAnsi" w:cstheme="minorHAnsi"/>
              </w:rPr>
              <w:t>r</w:t>
            </w:r>
            <w:r w:rsidR="00294D81">
              <w:rPr>
                <w:rFonts w:asciiTheme="majorHAnsi" w:hAnsiTheme="majorHAnsi" w:cstheme="minorHAnsi"/>
              </w:rPr>
              <w:t xml:space="preserve">eamlined process. Fall 2014 </w:t>
            </w:r>
            <w:r w:rsidR="00FF7034">
              <w:rPr>
                <w:rFonts w:asciiTheme="majorHAnsi" w:hAnsiTheme="majorHAnsi" w:cstheme="minorHAnsi"/>
              </w:rPr>
              <w:t xml:space="preserve">Program Reviews </w:t>
            </w:r>
            <w:r w:rsidR="00294D81">
              <w:rPr>
                <w:rFonts w:asciiTheme="majorHAnsi" w:hAnsiTheme="majorHAnsi" w:cstheme="minorHAnsi"/>
              </w:rPr>
              <w:t>will be reviewed</w:t>
            </w:r>
            <w:r w:rsidR="009A0496">
              <w:rPr>
                <w:rFonts w:asciiTheme="majorHAnsi" w:hAnsiTheme="majorHAnsi" w:cstheme="minorHAnsi"/>
              </w:rPr>
              <w:t xml:space="preserve"> and </w:t>
            </w:r>
            <w:r w:rsidR="00294D81">
              <w:rPr>
                <w:rFonts w:asciiTheme="majorHAnsi" w:hAnsiTheme="majorHAnsi" w:cstheme="minorHAnsi"/>
              </w:rPr>
              <w:t>finalized at A</w:t>
            </w:r>
            <w:r w:rsidR="009A0496">
              <w:rPr>
                <w:rFonts w:asciiTheme="majorHAnsi" w:hAnsiTheme="majorHAnsi" w:cstheme="minorHAnsi"/>
              </w:rPr>
              <w:t>p</w:t>
            </w:r>
            <w:r w:rsidR="00294D81">
              <w:rPr>
                <w:rFonts w:asciiTheme="majorHAnsi" w:hAnsiTheme="majorHAnsi" w:cstheme="minorHAnsi"/>
              </w:rPr>
              <w:t xml:space="preserve">ril 24, 2015, </w:t>
            </w:r>
            <w:r w:rsidR="00AB596A">
              <w:rPr>
                <w:rFonts w:asciiTheme="majorHAnsi" w:hAnsiTheme="majorHAnsi" w:cstheme="minorHAnsi"/>
              </w:rPr>
              <w:t xml:space="preserve">President’s Cabinet </w:t>
            </w:r>
            <w:r w:rsidR="00294D81">
              <w:rPr>
                <w:rFonts w:asciiTheme="majorHAnsi" w:hAnsiTheme="majorHAnsi" w:cstheme="minorHAnsi"/>
              </w:rPr>
              <w:t>meeting.</w:t>
            </w:r>
          </w:p>
        </w:tc>
      </w:tr>
      <w:tr w:rsidR="00F3227F" w:rsidTr="00CC7563">
        <w:tc>
          <w:tcPr>
            <w:tcW w:w="3417" w:type="dxa"/>
            <w:tcMar>
              <w:top w:w="72" w:type="dxa"/>
              <w:left w:w="72" w:type="dxa"/>
              <w:bottom w:w="72" w:type="dxa"/>
              <w:right w:w="72" w:type="dxa"/>
            </w:tcMar>
          </w:tcPr>
          <w:p w:rsidR="00F3227F" w:rsidRPr="00F3227F" w:rsidRDefault="001C31CC" w:rsidP="006A7B4C">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lastRenderedPageBreak/>
              <w:t>Constituency Reports</w:t>
            </w:r>
          </w:p>
        </w:tc>
        <w:tc>
          <w:tcPr>
            <w:tcW w:w="2816" w:type="dxa"/>
            <w:tcMar>
              <w:top w:w="72" w:type="dxa"/>
              <w:left w:w="72" w:type="dxa"/>
              <w:bottom w:w="72" w:type="dxa"/>
              <w:right w:w="72" w:type="dxa"/>
            </w:tcMar>
          </w:tcPr>
          <w:p w:rsidR="00CD2545" w:rsidRDefault="00CD2545" w:rsidP="00CD2545">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The </w:t>
            </w:r>
            <w:r w:rsidRPr="00CD2545">
              <w:rPr>
                <w:rFonts w:asciiTheme="majorHAnsi" w:hAnsiTheme="majorHAnsi" w:cstheme="minorHAnsi"/>
              </w:rPr>
              <w:t>Strategic Plan was discussed</w:t>
            </w:r>
            <w:r>
              <w:rPr>
                <w:rFonts w:asciiTheme="majorHAnsi" w:hAnsiTheme="majorHAnsi" w:cstheme="minorHAnsi"/>
              </w:rPr>
              <w:t xml:space="preserve"> and it was agreed that it will be included in the minutes. </w:t>
            </w:r>
            <w:r w:rsidRPr="00CD2545">
              <w:rPr>
                <w:rFonts w:asciiTheme="majorHAnsi" w:hAnsiTheme="majorHAnsi" w:cstheme="minorHAnsi"/>
              </w:rPr>
              <w:t xml:space="preserve">Mariles suggested follow-up via email to solicit suggestions.  Wayne suggested including the minutes as part of the documentation process. Wayne </w:t>
            </w:r>
            <w:r>
              <w:rPr>
                <w:rFonts w:asciiTheme="majorHAnsi" w:hAnsiTheme="majorHAnsi" w:cstheme="minorHAnsi"/>
              </w:rPr>
              <w:t xml:space="preserve">also </w:t>
            </w:r>
            <w:r w:rsidRPr="00CD2545">
              <w:rPr>
                <w:rFonts w:asciiTheme="majorHAnsi" w:hAnsiTheme="majorHAnsi" w:cstheme="minorHAnsi"/>
              </w:rPr>
              <w:t>suggest</w:t>
            </w:r>
            <w:r>
              <w:rPr>
                <w:rFonts w:asciiTheme="majorHAnsi" w:hAnsiTheme="majorHAnsi" w:cstheme="minorHAnsi"/>
              </w:rPr>
              <w:t>ed</w:t>
            </w:r>
            <w:r w:rsidRPr="00CD2545">
              <w:rPr>
                <w:rFonts w:asciiTheme="majorHAnsi" w:hAnsiTheme="majorHAnsi" w:cstheme="minorHAnsi"/>
              </w:rPr>
              <w:t xml:space="preserve"> putting everything in list form. Mojdeh </w:t>
            </w:r>
            <w:r>
              <w:rPr>
                <w:rFonts w:asciiTheme="majorHAnsi" w:hAnsiTheme="majorHAnsi" w:cstheme="minorHAnsi"/>
              </w:rPr>
              <w:t xml:space="preserve">preferred a diagram format in </w:t>
            </w:r>
            <w:r w:rsidRPr="00CD2545">
              <w:rPr>
                <w:rFonts w:asciiTheme="majorHAnsi" w:hAnsiTheme="majorHAnsi" w:cstheme="minorHAnsi"/>
              </w:rPr>
              <w:t xml:space="preserve">order to </w:t>
            </w:r>
            <w:r>
              <w:rPr>
                <w:rFonts w:asciiTheme="majorHAnsi" w:hAnsiTheme="majorHAnsi" w:cstheme="minorHAnsi"/>
              </w:rPr>
              <w:t xml:space="preserve">capture the </w:t>
            </w:r>
            <w:r w:rsidRPr="00CD2545">
              <w:rPr>
                <w:rFonts w:asciiTheme="majorHAnsi" w:hAnsiTheme="majorHAnsi" w:cstheme="minorHAnsi"/>
              </w:rPr>
              <w:t xml:space="preserve">feedback loop. </w:t>
            </w:r>
            <w:r>
              <w:rPr>
                <w:rFonts w:asciiTheme="majorHAnsi" w:hAnsiTheme="majorHAnsi" w:cstheme="minorHAnsi"/>
              </w:rPr>
              <w:t xml:space="preserve">It was agreed that dialog from DGC will </w:t>
            </w:r>
            <w:r w:rsidRPr="00CD2545">
              <w:rPr>
                <w:rFonts w:asciiTheme="majorHAnsi" w:hAnsiTheme="majorHAnsi" w:cstheme="minorHAnsi"/>
              </w:rPr>
              <w:t>result in better outcomes.</w:t>
            </w:r>
          </w:p>
          <w:p w:rsidR="00CD2545" w:rsidRDefault="00CD2545" w:rsidP="00CD2545">
            <w:pPr>
              <w:tabs>
                <w:tab w:val="left" w:leader="dot" w:pos="3600"/>
                <w:tab w:val="left" w:leader="dot" w:pos="4320"/>
                <w:tab w:val="left" w:leader="dot" w:pos="5760"/>
              </w:tabs>
              <w:rPr>
                <w:rFonts w:asciiTheme="majorHAnsi" w:hAnsiTheme="majorHAnsi" w:cstheme="minorHAnsi"/>
              </w:rPr>
            </w:pPr>
            <w:r w:rsidRPr="00CD2545">
              <w:rPr>
                <w:rFonts w:asciiTheme="majorHAnsi" w:hAnsiTheme="majorHAnsi" w:cstheme="minorHAnsi"/>
              </w:rPr>
              <w:t>Wayne suggests expediting entire Strategic Plan process. Mojdeh believes process should stay with DGC (prior to Cabinet</w:t>
            </w:r>
            <w:r w:rsidR="00FF7034">
              <w:rPr>
                <w:rFonts w:asciiTheme="majorHAnsi" w:hAnsiTheme="majorHAnsi" w:cstheme="minorHAnsi"/>
              </w:rPr>
              <w:t xml:space="preserve"> review</w:t>
            </w:r>
            <w:r w:rsidRPr="00CD2545">
              <w:rPr>
                <w:rFonts w:asciiTheme="majorHAnsi" w:hAnsiTheme="majorHAnsi" w:cstheme="minorHAnsi"/>
              </w:rPr>
              <w:t xml:space="preserve">).      </w:t>
            </w:r>
          </w:p>
          <w:p w:rsidR="00FF7034" w:rsidRDefault="00FF7034" w:rsidP="00F3227F">
            <w:pPr>
              <w:tabs>
                <w:tab w:val="left" w:leader="dot" w:pos="3600"/>
                <w:tab w:val="left" w:leader="dot" w:pos="4320"/>
                <w:tab w:val="left" w:leader="dot" w:pos="5760"/>
              </w:tabs>
              <w:rPr>
                <w:rFonts w:asciiTheme="majorHAnsi" w:hAnsiTheme="majorHAnsi" w:cstheme="minorHAnsi"/>
              </w:rPr>
            </w:pPr>
          </w:p>
          <w:p w:rsidR="00CD2545" w:rsidRDefault="00FF7034" w:rsidP="00F3227F">
            <w:pPr>
              <w:tabs>
                <w:tab w:val="left" w:leader="dot" w:pos="3600"/>
                <w:tab w:val="left" w:leader="dot" w:pos="4320"/>
                <w:tab w:val="left" w:leader="dot" w:pos="5760"/>
              </w:tabs>
              <w:rPr>
                <w:rFonts w:asciiTheme="majorHAnsi" w:hAnsiTheme="majorHAnsi" w:cstheme="minorHAnsi"/>
              </w:rPr>
            </w:pPr>
            <w:r w:rsidRPr="00FF7034">
              <w:rPr>
                <w:rFonts w:asciiTheme="majorHAnsi" w:hAnsiTheme="majorHAnsi" w:cstheme="minorHAnsi"/>
              </w:rPr>
              <w:t xml:space="preserve">Mojdeh indicated that contractor, Noel Levitz, will proceed with an assessment of our enrollment process on April 8th and 9th. </w:t>
            </w:r>
            <w:r w:rsidRPr="00FF7034">
              <w:rPr>
                <w:rFonts w:asciiTheme="majorHAnsi" w:hAnsiTheme="majorHAnsi" w:cstheme="minorHAnsi"/>
                <w:highlight w:val="yellow"/>
              </w:rPr>
              <w:t>Wayne indicated that about 40% of students can apply through the cccapply application process but they experience problems when they get to our side of system.</w:t>
            </w:r>
          </w:p>
        </w:tc>
        <w:tc>
          <w:tcPr>
            <w:tcW w:w="3117" w:type="dxa"/>
            <w:tcMar>
              <w:top w:w="72" w:type="dxa"/>
              <w:left w:w="72" w:type="dxa"/>
              <w:bottom w:w="72" w:type="dxa"/>
              <w:right w:w="72" w:type="dxa"/>
            </w:tcMar>
          </w:tcPr>
          <w:p w:rsidR="00995C47" w:rsidRDefault="00FF7034" w:rsidP="00AB596A">
            <w:pPr>
              <w:tabs>
                <w:tab w:val="left" w:leader="dot" w:pos="3600"/>
                <w:tab w:val="left" w:leader="dot" w:pos="4320"/>
                <w:tab w:val="left" w:leader="dot" w:pos="5760"/>
              </w:tabs>
              <w:rPr>
                <w:rFonts w:asciiTheme="majorHAnsi" w:hAnsiTheme="majorHAnsi" w:cstheme="minorHAnsi"/>
              </w:rPr>
            </w:pPr>
            <w:r w:rsidRPr="00FF7034">
              <w:rPr>
                <w:rFonts w:asciiTheme="majorHAnsi" w:hAnsiTheme="majorHAnsi" w:cstheme="minorHAnsi"/>
              </w:rPr>
              <w:t>Noel Levitz will then provide suggestions for improvement of our enrollment management processes which will include the identification of barriers. They will also provide an application after reviewing</w:t>
            </w:r>
            <w:r>
              <w:rPr>
                <w:rFonts w:asciiTheme="majorHAnsi" w:hAnsiTheme="majorHAnsi" w:cstheme="minorHAnsi"/>
              </w:rPr>
              <w:t xml:space="preserve"> </w:t>
            </w:r>
            <w:r w:rsidRPr="00FF7034">
              <w:rPr>
                <w:rFonts w:asciiTheme="majorHAnsi" w:hAnsiTheme="majorHAnsi" w:cstheme="minorHAnsi"/>
              </w:rPr>
              <w:t>our entire process.</w:t>
            </w:r>
          </w:p>
          <w:p w:rsidR="00F3227F" w:rsidRDefault="009A0496" w:rsidP="00AB596A">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 </w:t>
            </w:r>
            <w:r w:rsidR="00294D81">
              <w:rPr>
                <w:rFonts w:asciiTheme="majorHAnsi" w:hAnsiTheme="majorHAnsi" w:cstheme="minorHAnsi"/>
              </w:rPr>
              <w:t xml:space="preserve"> </w:t>
            </w:r>
          </w:p>
        </w:tc>
      </w:tr>
      <w:tr w:rsidR="00F3227F" w:rsidTr="00CC7563">
        <w:tc>
          <w:tcPr>
            <w:tcW w:w="3417" w:type="dxa"/>
            <w:tcMar>
              <w:top w:w="72" w:type="dxa"/>
              <w:left w:w="72" w:type="dxa"/>
              <w:bottom w:w="72" w:type="dxa"/>
              <w:right w:w="72" w:type="dxa"/>
            </w:tcMar>
          </w:tcPr>
          <w:p w:rsidR="00F3227F" w:rsidRPr="00FF7034" w:rsidRDefault="001C31CC" w:rsidP="00FF7034">
            <w:pPr>
              <w:pStyle w:val="ListParagraph"/>
              <w:numPr>
                <w:ilvl w:val="0"/>
                <w:numId w:val="3"/>
              </w:numPr>
              <w:tabs>
                <w:tab w:val="left" w:leader="dot" w:pos="3600"/>
                <w:tab w:val="left" w:leader="dot" w:pos="4320"/>
                <w:tab w:val="left" w:leader="dot" w:pos="5760"/>
              </w:tabs>
              <w:ind w:left="285" w:hanging="306"/>
              <w:rPr>
                <w:rFonts w:asciiTheme="majorHAnsi" w:hAnsiTheme="majorHAnsi" w:cstheme="minorHAnsi"/>
              </w:rPr>
            </w:pPr>
            <w:r>
              <w:rPr>
                <w:rFonts w:asciiTheme="majorHAnsi" w:hAnsiTheme="majorHAnsi" w:cstheme="minorHAnsi"/>
              </w:rPr>
              <w:t>Next Meeting:</w:t>
            </w:r>
            <w:r>
              <w:rPr>
                <w:rFonts w:asciiTheme="majorHAnsi" w:hAnsiTheme="majorHAnsi" w:cstheme="minorHAnsi"/>
              </w:rPr>
              <w:br/>
            </w:r>
            <w:r w:rsidR="00CC7563">
              <w:rPr>
                <w:rFonts w:asciiTheme="majorHAnsi" w:hAnsiTheme="majorHAnsi" w:cstheme="minorHAnsi"/>
              </w:rPr>
              <w:t>April 10</w:t>
            </w:r>
            <w:r>
              <w:rPr>
                <w:rFonts w:asciiTheme="majorHAnsi" w:hAnsiTheme="majorHAnsi" w:cstheme="minorHAnsi"/>
              </w:rPr>
              <w:t>, 2015</w:t>
            </w:r>
          </w:p>
        </w:tc>
        <w:tc>
          <w:tcPr>
            <w:tcW w:w="2816" w:type="dxa"/>
            <w:tcMar>
              <w:top w:w="72" w:type="dxa"/>
              <w:left w:w="72" w:type="dxa"/>
              <w:bottom w:w="72" w:type="dxa"/>
              <w:right w:w="72" w:type="dxa"/>
            </w:tcMar>
          </w:tcPr>
          <w:p w:rsidR="00F3227F" w:rsidRDefault="00F3227F" w:rsidP="00F3227F">
            <w:pPr>
              <w:tabs>
                <w:tab w:val="left" w:leader="dot" w:pos="3600"/>
                <w:tab w:val="left" w:leader="dot" w:pos="4320"/>
                <w:tab w:val="left" w:leader="dot" w:pos="5760"/>
              </w:tabs>
              <w:rPr>
                <w:rFonts w:asciiTheme="majorHAnsi" w:hAnsiTheme="majorHAnsi" w:cstheme="minorHAnsi"/>
              </w:rPr>
            </w:pPr>
          </w:p>
        </w:tc>
        <w:tc>
          <w:tcPr>
            <w:tcW w:w="3117" w:type="dxa"/>
            <w:tcMar>
              <w:top w:w="72" w:type="dxa"/>
              <w:left w:w="72" w:type="dxa"/>
              <w:bottom w:w="72" w:type="dxa"/>
              <w:right w:w="72" w:type="dxa"/>
            </w:tcMar>
          </w:tcPr>
          <w:p w:rsidR="00177F23" w:rsidRDefault="00177F23" w:rsidP="00CF50EA">
            <w:pPr>
              <w:tabs>
                <w:tab w:val="left" w:leader="dot" w:pos="3600"/>
                <w:tab w:val="left" w:leader="dot" w:pos="4320"/>
                <w:tab w:val="left" w:leader="dot" w:pos="5760"/>
              </w:tabs>
              <w:rPr>
                <w:rFonts w:asciiTheme="majorHAnsi" w:hAnsiTheme="majorHAnsi" w:cstheme="minorHAnsi"/>
              </w:rPr>
            </w:pPr>
          </w:p>
          <w:p w:rsidR="00C35005" w:rsidRDefault="00C35005" w:rsidP="00CF50EA">
            <w:pPr>
              <w:tabs>
                <w:tab w:val="left" w:leader="dot" w:pos="3600"/>
                <w:tab w:val="left" w:leader="dot" w:pos="4320"/>
                <w:tab w:val="left" w:leader="dot" w:pos="5760"/>
              </w:tabs>
              <w:rPr>
                <w:rFonts w:asciiTheme="majorHAnsi" w:hAnsiTheme="majorHAnsi" w:cstheme="minorHAnsi"/>
              </w:rPr>
            </w:pPr>
            <w:r>
              <w:rPr>
                <w:rFonts w:asciiTheme="majorHAnsi" w:hAnsiTheme="majorHAnsi" w:cstheme="minorHAnsi"/>
              </w:rPr>
              <w:t xml:space="preserve">  </w:t>
            </w:r>
            <w:r w:rsidR="00CF50EA">
              <w:rPr>
                <w:rFonts w:asciiTheme="majorHAnsi" w:hAnsiTheme="majorHAnsi" w:cstheme="minorHAnsi"/>
              </w:rPr>
              <w:t xml:space="preserve"> </w:t>
            </w:r>
          </w:p>
          <w:p w:rsidR="00C35005" w:rsidRDefault="00C35005" w:rsidP="00CF50EA">
            <w:pPr>
              <w:tabs>
                <w:tab w:val="left" w:leader="dot" w:pos="3600"/>
                <w:tab w:val="left" w:leader="dot" w:pos="4320"/>
                <w:tab w:val="left" w:leader="dot" w:pos="5760"/>
              </w:tabs>
              <w:rPr>
                <w:rFonts w:asciiTheme="majorHAnsi" w:hAnsiTheme="majorHAnsi" w:cstheme="minorHAnsi"/>
              </w:rPr>
            </w:pPr>
          </w:p>
          <w:p w:rsidR="00C35005" w:rsidRDefault="00C35005" w:rsidP="00CF50EA">
            <w:pPr>
              <w:tabs>
                <w:tab w:val="left" w:leader="dot" w:pos="3600"/>
                <w:tab w:val="left" w:leader="dot" w:pos="4320"/>
                <w:tab w:val="left" w:leader="dot" w:pos="5760"/>
              </w:tabs>
              <w:rPr>
                <w:rFonts w:asciiTheme="majorHAnsi" w:hAnsiTheme="majorHAnsi" w:cstheme="minorHAnsi"/>
              </w:rPr>
            </w:pPr>
          </w:p>
          <w:p w:rsidR="00F3227F" w:rsidRDefault="00F3227F" w:rsidP="00AB596A">
            <w:pPr>
              <w:tabs>
                <w:tab w:val="left" w:leader="dot" w:pos="3600"/>
                <w:tab w:val="left" w:leader="dot" w:pos="4320"/>
                <w:tab w:val="left" w:leader="dot" w:pos="5760"/>
              </w:tabs>
              <w:rPr>
                <w:rFonts w:asciiTheme="majorHAnsi" w:hAnsiTheme="majorHAnsi" w:cstheme="minorHAnsi"/>
              </w:rPr>
            </w:pPr>
          </w:p>
        </w:tc>
      </w:tr>
    </w:tbl>
    <w:p w:rsidR="003A7B46" w:rsidRDefault="003A7B46" w:rsidP="00C762E7">
      <w:pPr>
        <w:tabs>
          <w:tab w:val="left" w:leader="dot" w:pos="3600"/>
          <w:tab w:val="left" w:pos="4320"/>
          <w:tab w:val="left" w:pos="5760"/>
        </w:tabs>
        <w:spacing w:after="0" w:line="240" w:lineRule="auto"/>
        <w:rPr>
          <w:rFonts w:asciiTheme="majorHAnsi" w:hAnsiTheme="majorHAnsi" w:cstheme="minorHAnsi"/>
        </w:rPr>
      </w:pPr>
    </w:p>
    <w:p w:rsidR="00EA7A32" w:rsidRDefault="000B0C30" w:rsidP="00EA7A32">
      <w:pPr>
        <w:tabs>
          <w:tab w:val="left" w:pos="5584"/>
        </w:tabs>
        <w:ind w:left="1890" w:hanging="1890"/>
        <w:rPr>
          <w:rFonts w:asciiTheme="majorHAnsi" w:hAnsiTheme="majorHAnsi" w:cstheme="minorHAnsi"/>
        </w:rPr>
      </w:pPr>
      <w:r>
        <w:rPr>
          <w:rFonts w:asciiTheme="majorHAnsi" w:hAnsiTheme="majorHAnsi" w:cstheme="minorHAnsi"/>
          <w:b/>
        </w:rPr>
        <w:t>President’s Cabinet</w:t>
      </w:r>
      <w:r w:rsidR="00C762E7" w:rsidRPr="00C762E7">
        <w:rPr>
          <w:rFonts w:asciiTheme="majorHAnsi" w:hAnsiTheme="majorHAnsi" w:cstheme="minorHAnsi"/>
          <w:b/>
        </w:rPr>
        <w:t>:</w:t>
      </w:r>
      <w:r w:rsidR="00597ADF" w:rsidRPr="00C762E7">
        <w:rPr>
          <w:rFonts w:asciiTheme="majorHAnsi" w:hAnsiTheme="majorHAnsi" w:cstheme="minorHAnsi"/>
          <w:b/>
        </w:rPr>
        <w:tab/>
      </w:r>
      <w:r>
        <w:rPr>
          <w:rFonts w:asciiTheme="majorHAnsi" w:hAnsiTheme="majorHAnsi" w:cstheme="minorHAnsi"/>
        </w:rPr>
        <w:t>Agnitsch, Antone</w:t>
      </w:r>
      <w:r w:rsidR="00F65923">
        <w:rPr>
          <w:rFonts w:asciiTheme="majorHAnsi" w:hAnsiTheme="majorHAnsi" w:cstheme="minorHAnsi"/>
        </w:rPr>
        <w:t xml:space="preserve"> - </w:t>
      </w:r>
      <w:r>
        <w:rPr>
          <w:rFonts w:asciiTheme="majorHAnsi" w:hAnsiTheme="majorHAnsi" w:cstheme="minorHAnsi"/>
        </w:rPr>
        <w:t>Associated Student Union President</w:t>
      </w:r>
      <w:r>
        <w:rPr>
          <w:rFonts w:asciiTheme="majorHAnsi" w:hAnsiTheme="majorHAnsi" w:cstheme="minorHAnsi"/>
        </w:rPr>
        <w:br/>
        <w:t>Gilkerson, Tammeil</w:t>
      </w:r>
      <w:r w:rsidR="00F65923">
        <w:rPr>
          <w:rFonts w:asciiTheme="majorHAnsi" w:hAnsiTheme="majorHAnsi" w:cstheme="minorHAnsi"/>
        </w:rPr>
        <w:t xml:space="preserve"> - </w:t>
      </w:r>
      <w:r>
        <w:rPr>
          <w:rFonts w:asciiTheme="majorHAnsi" w:hAnsiTheme="majorHAnsi" w:cstheme="minorHAnsi"/>
        </w:rPr>
        <w:t>Vice President</w:t>
      </w:r>
      <w:r>
        <w:rPr>
          <w:rFonts w:asciiTheme="majorHAnsi" w:hAnsiTheme="majorHAnsi" w:cstheme="minorHAnsi"/>
        </w:rPr>
        <w:br/>
        <w:t>Greene, Erika</w:t>
      </w:r>
      <w:r w:rsidR="00F65923">
        <w:rPr>
          <w:rFonts w:asciiTheme="majorHAnsi" w:hAnsiTheme="majorHAnsi" w:cstheme="minorHAnsi"/>
        </w:rPr>
        <w:t xml:space="preserve"> - </w:t>
      </w:r>
      <w:r>
        <w:rPr>
          <w:rFonts w:asciiTheme="majorHAnsi" w:hAnsiTheme="majorHAnsi" w:cstheme="minorHAnsi"/>
        </w:rPr>
        <w:t>Classified Senate President</w:t>
      </w:r>
      <w:r>
        <w:rPr>
          <w:rFonts w:asciiTheme="majorHAnsi" w:hAnsiTheme="majorHAnsi" w:cstheme="minorHAnsi"/>
        </w:rPr>
        <w:br/>
      </w:r>
      <w:r w:rsidR="00C762E7">
        <w:rPr>
          <w:rFonts w:asciiTheme="majorHAnsi" w:hAnsiTheme="majorHAnsi" w:cstheme="minorHAnsi"/>
        </w:rPr>
        <w:t>Magalong, Mariles</w:t>
      </w:r>
      <w:r w:rsidR="00F65923">
        <w:rPr>
          <w:rFonts w:asciiTheme="majorHAnsi" w:hAnsiTheme="majorHAnsi" w:cstheme="minorHAnsi"/>
        </w:rPr>
        <w:t xml:space="preserve"> - </w:t>
      </w:r>
      <w:r>
        <w:rPr>
          <w:rFonts w:asciiTheme="majorHAnsi" w:hAnsiTheme="majorHAnsi" w:cstheme="minorHAnsi"/>
        </w:rPr>
        <w:t>Business Services Director</w:t>
      </w:r>
      <w:r w:rsidR="00BD007B">
        <w:rPr>
          <w:rFonts w:asciiTheme="majorHAnsi" w:hAnsiTheme="majorHAnsi" w:cstheme="minorHAnsi"/>
        </w:rPr>
        <w:br/>
        <w:t>Mehdizadeh, Mojdeh</w:t>
      </w:r>
      <w:r w:rsidR="00F65923">
        <w:rPr>
          <w:rFonts w:asciiTheme="majorHAnsi" w:hAnsiTheme="majorHAnsi" w:cstheme="minorHAnsi"/>
        </w:rPr>
        <w:t xml:space="preserve"> - </w:t>
      </w:r>
      <w:r>
        <w:rPr>
          <w:rFonts w:asciiTheme="majorHAnsi" w:hAnsiTheme="majorHAnsi" w:cstheme="minorHAnsi"/>
        </w:rPr>
        <w:t>Interim President</w:t>
      </w:r>
      <w:r>
        <w:rPr>
          <w:rFonts w:asciiTheme="majorHAnsi" w:hAnsiTheme="majorHAnsi" w:cstheme="minorHAnsi"/>
        </w:rPr>
        <w:br/>
        <w:t>Organ, Wayne</w:t>
      </w:r>
      <w:r w:rsidR="00F65923">
        <w:rPr>
          <w:rFonts w:asciiTheme="majorHAnsi" w:hAnsiTheme="majorHAnsi" w:cstheme="minorHAnsi"/>
        </w:rPr>
        <w:t xml:space="preserve"> - </w:t>
      </w:r>
      <w:r>
        <w:rPr>
          <w:rFonts w:asciiTheme="majorHAnsi" w:hAnsiTheme="majorHAnsi" w:cstheme="minorHAnsi"/>
        </w:rPr>
        <w:t>Academic Senate Faculty President</w:t>
      </w:r>
    </w:p>
    <w:p w:rsidR="00EA7A32" w:rsidRPr="00597ADF" w:rsidRDefault="00EA7A32" w:rsidP="00EA7A32">
      <w:pPr>
        <w:tabs>
          <w:tab w:val="left" w:pos="5584"/>
        </w:tabs>
        <w:ind w:left="1890" w:hanging="1890"/>
        <w:rPr>
          <w:rFonts w:asciiTheme="majorHAnsi" w:hAnsiTheme="majorHAnsi" w:cstheme="minorHAnsi"/>
        </w:rPr>
      </w:pPr>
      <w:r>
        <w:rPr>
          <w:rFonts w:asciiTheme="majorHAnsi" w:hAnsiTheme="majorHAnsi" w:cstheme="minorHAnsi"/>
          <w:b/>
        </w:rPr>
        <w:t>Upcoming Meetings</w:t>
      </w:r>
      <w:r w:rsidRPr="00C762E7">
        <w:rPr>
          <w:rFonts w:asciiTheme="majorHAnsi" w:hAnsiTheme="majorHAnsi" w:cstheme="minorHAnsi"/>
          <w:b/>
        </w:rPr>
        <w:t>:</w:t>
      </w:r>
      <w:r w:rsidRPr="00C762E7">
        <w:rPr>
          <w:rFonts w:asciiTheme="majorHAnsi" w:hAnsiTheme="majorHAnsi" w:cstheme="minorHAnsi"/>
          <w:b/>
        </w:rPr>
        <w:tab/>
      </w:r>
      <w:r>
        <w:rPr>
          <w:rFonts w:asciiTheme="majorHAnsi" w:hAnsiTheme="majorHAnsi" w:cstheme="minorHAnsi"/>
        </w:rPr>
        <w:t>Fri, Apr 10, 2015, President’s Office</w:t>
      </w:r>
      <w:r>
        <w:rPr>
          <w:rFonts w:asciiTheme="majorHAnsi" w:hAnsiTheme="majorHAnsi" w:cstheme="minorHAnsi"/>
        </w:rPr>
        <w:br/>
        <w:t>Fri, Apr 24, 2015, President’s Office</w:t>
      </w:r>
      <w:r>
        <w:rPr>
          <w:rFonts w:asciiTheme="majorHAnsi" w:hAnsiTheme="majorHAnsi" w:cstheme="minorHAnsi"/>
        </w:rPr>
        <w:br/>
        <w:t>Fri, May 1, 2015, President’s Office</w:t>
      </w:r>
    </w:p>
    <w:sectPr w:rsidR="00EA7A32" w:rsidRPr="00597ADF" w:rsidSect="00021F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45" w:rsidRDefault="00CD2545" w:rsidP="00E94722">
      <w:pPr>
        <w:spacing w:after="0" w:line="240" w:lineRule="auto"/>
      </w:pPr>
      <w:r>
        <w:separator/>
      </w:r>
    </w:p>
  </w:endnote>
  <w:endnote w:type="continuationSeparator" w:id="0">
    <w:p w:rsidR="00CD2545" w:rsidRDefault="00CD2545" w:rsidP="00E9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CD2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Pr="003563CA" w:rsidRDefault="00CD2545" w:rsidP="00AB2C01">
    <w:pPr>
      <w:pStyle w:val="Footer"/>
      <w:pBdr>
        <w:bottom w:val="single" w:sz="4" w:space="1" w:color="1F3864" w:themeColor="accent5" w:themeShade="80"/>
      </w:pBdr>
      <w:tabs>
        <w:tab w:val="clear" w:pos="4680"/>
        <w:tab w:val="clear" w:pos="9360"/>
        <w:tab w:val="left" w:pos="6413"/>
      </w:tabs>
      <w:jc w:val="center"/>
      <w:rPr>
        <w:rFonts w:ascii="Eras Light ITC" w:hAnsi="Eras Light ITC" w:cstheme="minorHAnsi"/>
        <w:b/>
        <w:color w:val="1F3864" w:themeColor="accent5" w:themeShade="80"/>
        <w:sz w:val="20"/>
        <w:szCs w:val="20"/>
      </w:rPr>
    </w:pPr>
  </w:p>
  <w:p w:rsidR="00CD2545" w:rsidRPr="0061394A" w:rsidRDefault="00CD2545" w:rsidP="0061394A">
    <w:pPr>
      <w:pStyle w:val="Footer"/>
      <w:tabs>
        <w:tab w:val="clear" w:pos="4680"/>
        <w:tab w:val="clear" w:pos="9360"/>
        <w:tab w:val="left" w:pos="6413"/>
      </w:tabs>
      <w:spacing w:before="160"/>
      <w:jc w:val="center"/>
      <w:rPr>
        <w:rFonts w:ascii="Eras Light ITC" w:hAnsi="Eras Light ITC" w:cstheme="minorHAnsi"/>
        <w:b/>
        <w:color w:val="1F3864" w:themeColor="accent5" w:themeShade="80"/>
        <w:sz w:val="20"/>
        <w:szCs w:val="20"/>
      </w:rPr>
    </w:pPr>
    <w:r w:rsidRPr="0061394A">
      <w:rPr>
        <w:rFonts w:ascii="Eras Light ITC" w:hAnsi="Eras Light ITC" w:cstheme="minorHAnsi"/>
        <w:b/>
        <w:color w:val="1F3864" w:themeColor="accent5" w:themeShade="80"/>
        <w:sz w:val="20"/>
        <w:szCs w:val="20"/>
      </w:rPr>
      <w:t xml:space="preserve">CONTRA COSTA COLLEGE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2600 MISSION BELL DRIVE, SAN PABLO, CA  94806 </w:t>
    </w:r>
    <w:r w:rsidRPr="0061394A">
      <w:rPr>
        <w:rFonts w:ascii="Eras Light ITC" w:hAnsi="Eras Light ITC" w:cstheme="minorHAnsi"/>
        <w:b/>
        <w:color w:val="1F3864" w:themeColor="accent5" w:themeShade="80"/>
        <w:sz w:val="20"/>
        <w:szCs w:val="20"/>
      </w:rPr>
      <w:sym w:font="Symbol" w:char="F0D7"/>
    </w:r>
    <w:r w:rsidRPr="0061394A">
      <w:rPr>
        <w:rFonts w:ascii="Eras Light ITC" w:hAnsi="Eras Light ITC" w:cstheme="minorHAnsi"/>
        <w:b/>
        <w:color w:val="1F3864" w:themeColor="accent5" w:themeShade="80"/>
        <w:sz w:val="20"/>
        <w:szCs w:val="20"/>
      </w:rPr>
      <w:t xml:space="preserve"> (510) 235-7800</w:t>
    </w:r>
    <w:r w:rsidRPr="0061394A">
      <w:rPr>
        <w:rFonts w:ascii="Eras Light ITC" w:hAnsi="Eras Light ITC" w:cstheme="minorHAnsi"/>
        <w:b/>
        <w:color w:val="1F3864" w:themeColor="accent5" w:themeShade="80"/>
        <w:sz w:val="20"/>
        <w:szCs w:val="20"/>
      </w:rPr>
      <w:br/>
      <w:t>WWW.CONTRACOSTA.EDU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CD2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45" w:rsidRDefault="00CD2545" w:rsidP="00E94722">
      <w:pPr>
        <w:spacing w:after="0" w:line="240" w:lineRule="auto"/>
      </w:pPr>
      <w:r>
        <w:separator/>
      </w:r>
    </w:p>
  </w:footnote>
  <w:footnote w:type="continuationSeparator" w:id="0">
    <w:p w:rsidR="00CD2545" w:rsidRDefault="00CD2545" w:rsidP="00E9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CD2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3"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CD2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4"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5" w:rsidRDefault="00CD25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74852"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61A1C"/>
    <w:multiLevelType w:val="hybridMultilevel"/>
    <w:tmpl w:val="05A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A3AF1"/>
    <w:multiLevelType w:val="hybridMultilevel"/>
    <w:tmpl w:val="4228562C"/>
    <w:lvl w:ilvl="0" w:tplc="79286EDA">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D75E6"/>
    <w:multiLevelType w:val="hybridMultilevel"/>
    <w:tmpl w:val="C3C0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46EE6"/>
    <w:multiLevelType w:val="hybridMultilevel"/>
    <w:tmpl w:val="EF4251E2"/>
    <w:lvl w:ilvl="0" w:tplc="515A418C">
      <w:start w:val="2014"/>
      <w:numFmt w:val="bullet"/>
      <w:lvlText w:val="-"/>
      <w:lvlJc w:val="left"/>
      <w:pPr>
        <w:ind w:left="645" w:hanging="360"/>
      </w:pPr>
      <w:rPr>
        <w:rFonts w:ascii="Calibri Light" w:eastAsiaTheme="minorHAnsi" w:hAnsi="Calibri Light" w:cstheme="minorHAns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22"/>
    <w:rsid w:val="00021F44"/>
    <w:rsid w:val="000234A9"/>
    <w:rsid w:val="0004626F"/>
    <w:rsid w:val="000739A4"/>
    <w:rsid w:val="000863D8"/>
    <w:rsid w:val="000B0C30"/>
    <w:rsid w:val="000B6AB7"/>
    <w:rsid w:val="000E5348"/>
    <w:rsid w:val="000F3651"/>
    <w:rsid w:val="000F7EF5"/>
    <w:rsid w:val="00117019"/>
    <w:rsid w:val="00154B33"/>
    <w:rsid w:val="00165D6B"/>
    <w:rsid w:val="00177F23"/>
    <w:rsid w:val="00182B14"/>
    <w:rsid w:val="001B06F1"/>
    <w:rsid w:val="001B7CE3"/>
    <w:rsid w:val="001C05FF"/>
    <w:rsid w:val="001C31CC"/>
    <w:rsid w:val="001C42E7"/>
    <w:rsid w:val="00222009"/>
    <w:rsid w:val="00237ED6"/>
    <w:rsid w:val="002718EC"/>
    <w:rsid w:val="00290C03"/>
    <w:rsid w:val="00294D81"/>
    <w:rsid w:val="002B6FA3"/>
    <w:rsid w:val="002D0259"/>
    <w:rsid w:val="002E0B35"/>
    <w:rsid w:val="0031000B"/>
    <w:rsid w:val="003251A8"/>
    <w:rsid w:val="00351411"/>
    <w:rsid w:val="003563CA"/>
    <w:rsid w:val="003631F6"/>
    <w:rsid w:val="0038354B"/>
    <w:rsid w:val="003A7B46"/>
    <w:rsid w:val="003C2443"/>
    <w:rsid w:val="003C285D"/>
    <w:rsid w:val="003F1870"/>
    <w:rsid w:val="00420394"/>
    <w:rsid w:val="00433B09"/>
    <w:rsid w:val="00437CC4"/>
    <w:rsid w:val="00473083"/>
    <w:rsid w:val="004A2A75"/>
    <w:rsid w:val="004A4FB0"/>
    <w:rsid w:val="004C2251"/>
    <w:rsid w:val="004D32DD"/>
    <w:rsid w:val="004E61F0"/>
    <w:rsid w:val="00502332"/>
    <w:rsid w:val="00540823"/>
    <w:rsid w:val="00540D08"/>
    <w:rsid w:val="00597ADF"/>
    <w:rsid w:val="005E1AF1"/>
    <w:rsid w:val="0061394A"/>
    <w:rsid w:val="006326AF"/>
    <w:rsid w:val="00653F5F"/>
    <w:rsid w:val="00660EC3"/>
    <w:rsid w:val="006870AA"/>
    <w:rsid w:val="006A1ABC"/>
    <w:rsid w:val="006A7B4C"/>
    <w:rsid w:val="006D3053"/>
    <w:rsid w:val="00723B63"/>
    <w:rsid w:val="0074145A"/>
    <w:rsid w:val="007438B6"/>
    <w:rsid w:val="0079541B"/>
    <w:rsid w:val="00796832"/>
    <w:rsid w:val="007A5542"/>
    <w:rsid w:val="007E6A56"/>
    <w:rsid w:val="007F0A02"/>
    <w:rsid w:val="00803FF5"/>
    <w:rsid w:val="00816D42"/>
    <w:rsid w:val="0086170C"/>
    <w:rsid w:val="008652BA"/>
    <w:rsid w:val="008A3EE8"/>
    <w:rsid w:val="008E7787"/>
    <w:rsid w:val="00931F86"/>
    <w:rsid w:val="00945F8F"/>
    <w:rsid w:val="009673AF"/>
    <w:rsid w:val="0098026C"/>
    <w:rsid w:val="00995C47"/>
    <w:rsid w:val="009A0496"/>
    <w:rsid w:val="009B73EA"/>
    <w:rsid w:val="009E6ABD"/>
    <w:rsid w:val="009E7099"/>
    <w:rsid w:val="009F5DCB"/>
    <w:rsid w:val="00A24708"/>
    <w:rsid w:val="00A40112"/>
    <w:rsid w:val="00A75758"/>
    <w:rsid w:val="00A81C53"/>
    <w:rsid w:val="00A952D0"/>
    <w:rsid w:val="00AB2C01"/>
    <w:rsid w:val="00AB596A"/>
    <w:rsid w:val="00AD262C"/>
    <w:rsid w:val="00AD61F6"/>
    <w:rsid w:val="00B24A0B"/>
    <w:rsid w:val="00B33D8B"/>
    <w:rsid w:val="00B512BC"/>
    <w:rsid w:val="00B756CF"/>
    <w:rsid w:val="00BD007B"/>
    <w:rsid w:val="00BE344F"/>
    <w:rsid w:val="00C000DC"/>
    <w:rsid w:val="00C0411A"/>
    <w:rsid w:val="00C3150C"/>
    <w:rsid w:val="00C35005"/>
    <w:rsid w:val="00C62B7E"/>
    <w:rsid w:val="00C63F4E"/>
    <w:rsid w:val="00C762E7"/>
    <w:rsid w:val="00C94853"/>
    <w:rsid w:val="00CC265A"/>
    <w:rsid w:val="00CC7563"/>
    <w:rsid w:val="00CD023C"/>
    <w:rsid w:val="00CD2545"/>
    <w:rsid w:val="00CF50EA"/>
    <w:rsid w:val="00D12096"/>
    <w:rsid w:val="00D1533E"/>
    <w:rsid w:val="00D27D9D"/>
    <w:rsid w:val="00D423A9"/>
    <w:rsid w:val="00D46960"/>
    <w:rsid w:val="00D7352C"/>
    <w:rsid w:val="00D775BA"/>
    <w:rsid w:val="00D9491C"/>
    <w:rsid w:val="00D969D7"/>
    <w:rsid w:val="00DB368F"/>
    <w:rsid w:val="00DD507B"/>
    <w:rsid w:val="00DF3BF4"/>
    <w:rsid w:val="00E350F3"/>
    <w:rsid w:val="00E37FF7"/>
    <w:rsid w:val="00E5377A"/>
    <w:rsid w:val="00E91B04"/>
    <w:rsid w:val="00E94722"/>
    <w:rsid w:val="00EA7A32"/>
    <w:rsid w:val="00EC3426"/>
    <w:rsid w:val="00EC4F07"/>
    <w:rsid w:val="00F027DD"/>
    <w:rsid w:val="00F02CBF"/>
    <w:rsid w:val="00F3227F"/>
    <w:rsid w:val="00F436DB"/>
    <w:rsid w:val="00F64114"/>
    <w:rsid w:val="00F65923"/>
    <w:rsid w:val="00FA4E99"/>
    <w:rsid w:val="00FD062C"/>
    <w:rsid w:val="00FD2789"/>
    <w:rsid w:val="00FE7792"/>
    <w:rsid w:val="00FF1973"/>
    <w:rsid w:val="00FF7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CC7597-8A20-490E-A04F-DCC9247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22"/>
  </w:style>
  <w:style w:type="paragraph" w:styleId="Footer">
    <w:name w:val="footer"/>
    <w:basedOn w:val="Normal"/>
    <w:link w:val="FooterChar"/>
    <w:uiPriority w:val="99"/>
    <w:unhideWhenUsed/>
    <w:rsid w:val="00E9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22"/>
  </w:style>
  <w:style w:type="character" w:styleId="Hyperlink">
    <w:name w:val="Hyperlink"/>
    <w:basedOn w:val="DefaultParagraphFont"/>
    <w:uiPriority w:val="99"/>
    <w:unhideWhenUsed/>
    <w:rsid w:val="00E94722"/>
    <w:rPr>
      <w:color w:val="0563C1" w:themeColor="hyperlink"/>
      <w:u w:val="single"/>
    </w:rPr>
  </w:style>
  <w:style w:type="paragraph" w:styleId="BalloonText">
    <w:name w:val="Balloon Text"/>
    <w:basedOn w:val="Normal"/>
    <w:link w:val="BalloonTextChar"/>
    <w:uiPriority w:val="99"/>
    <w:semiHidden/>
    <w:unhideWhenUsed/>
    <w:rsid w:val="00AB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01"/>
    <w:rPr>
      <w:rFonts w:ascii="Segoe UI" w:hAnsi="Segoe UI" w:cs="Segoe UI"/>
      <w:sz w:val="18"/>
      <w:szCs w:val="18"/>
    </w:rPr>
  </w:style>
  <w:style w:type="paragraph" w:styleId="ListParagraph">
    <w:name w:val="List Paragraph"/>
    <w:basedOn w:val="Normal"/>
    <w:uiPriority w:val="34"/>
    <w:qFormat/>
    <w:rsid w:val="003C285D"/>
    <w:pPr>
      <w:ind w:left="720"/>
      <w:contextualSpacing/>
    </w:pPr>
  </w:style>
  <w:style w:type="table" w:styleId="TableGrid">
    <w:name w:val="Table Grid"/>
    <w:basedOn w:val="TableNormal"/>
    <w:uiPriority w:val="39"/>
    <w:rsid w:val="00F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211B-5BFD-4E48-AD22-E9685EDD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282D680C</Template>
  <TotalTime>27</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 Saefong</dc:creator>
  <cp:keywords/>
  <dc:description/>
  <cp:lastModifiedBy>Theresa Mitchell</cp:lastModifiedBy>
  <cp:revision>6</cp:revision>
  <cp:lastPrinted>2015-03-31T23:36:00Z</cp:lastPrinted>
  <dcterms:created xsi:type="dcterms:W3CDTF">2015-03-31T23:39:00Z</dcterms:created>
  <dcterms:modified xsi:type="dcterms:W3CDTF">2015-04-01T00:06:00Z</dcterms:modified>
</cp:coreProperties>
</file>